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B190B" w14:textId="4F43235E" w:rsidR="004429CF" w:rsidRPr="0011126D" w:rsidRDefault="004429CF" w:rsidP="0011126D">
      <w:pPr>
        <w:tabs>
          <w:tab w:val="left" w:pos="9356"/>
        </w:tabs>
        <w:overflowPunct w:val="0"/>
        <w:autoSpaceDE w:val="0"/>
        <w:autoSpaceDN w:val="0"/>
        <w:adjustRightInd w:val="0"/>
        <w:spacing w:after="12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82049">
        <w:rPr>
          <w:rFonts w:asciiTheme="majorHAnsi" w:eastAsia="Times New Roman" w:hAnsiTheme="majorHAnsi" w:cs="Times New Roman"/>
          <w:lang w:eastAsia="cs-CZ"/>
        </w:rPr>
        <w:t>5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1103C8" w:rsidRDefault="009A0078" w:rsidP="004429CF">
      <w:pPr>
        <w:pStyle w:val="Nzev"/>
        <w:jc w:val="left"/>
      </w:pPr>
      <w:r w:rsidRPr="001103C8">
        <w:t xml:space="preserve">Smlouva o dílo </w:t>
      </w:r>
    </w:p>
    <w:p w14:paraId="71413EB7" w14:textId="545C934D" w:rsidR="005740C3" w:rsidRPr="00AC7749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lightGray"/>
          <w:lang w:eastAsia="cs-CZ"/>
        </w:rPr>
      </w:pPr>
      <w:r w:rsidRPr="00AC7749">
        <w:rPr>
          <w:rFonts w:eastAsia="Times New Roman" w:cs="Times New Roman"/>
          <w:b/>
          <w:highlight w:val="lightGray"/>
          <w:lang w:eastAsia="cs-CZ"/>
        </w:rPr>
        <w:t>Číslo smlouvy objednatele. ………………</w:t>
      </w:r>
    </w:p>
    <w:p w14:paraId="1CDD4F8B" w14:textId="4400E959" w:rsidR="005740C3" w:rsidRDefault="005740C3" w:rsidP="00111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7204D05F" w14:textId="77777777" w:rsidR="0011126D" w:rsidRPr="0011126D" w:rsidRDefault="0011126D" w:rsidP="0011126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4B55538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AC7749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Praha 1 - Nové Město, </w:t>
      </w:r>
      <w:r w:rsidRPr="00AC7749">
        <w:rPr>
          <w:rFonts w:eastAsia="Times New Roman" w:cs="Times New Roman"/>
          <w:lang w:eastAsia="cs-CZ"/>
        </w:rPr>
        <w:t>Dlážděná 1003/7, PSČ 110 00</w:t>
      </w:r>
    </w:p>
    <w:p w14:paraId="482B2557" w14:textId="77777777" w:rsidR="004E1498" w:rsidRPr="00AC7749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C7749">
        <w:rPr>
          <w:rFonts w:eastAsia="Times New Roman" w:cs="Times New Roman"/>
          <w:lang w:eastAsia="cs-CZ"/>
        </w:rPr>
        <w:tab/>
      </w:r>
      <w:r w:rsidRPr="00AC7749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118CA7A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AC7749">
        <w:rPr>
          <w:rFonts w:eastAsia="Times New Roman" w:cs="Times New Roman"/>
          <w:lang w:eastAsia="cs-CZ"/>
        </w:rPr>
        <w:tab/>
      </w:r>
      <w:r w:rsidRPr="00AC7749">
        <w:rPr>
          <w:rFonts w:eastAsia="Times New Roman" w:cs="Times New Roman"/>
          <w:lang w:eastAsia="cs-CZ"/>
        </w:rPr>
        <w:tab/>
        <w:t xml:space="preserve">zastoupená </w:t>
      </w:r>
      <w:r w:rsidR="00AC7749" w:rsidRPr="00AC7749">
        <w:rPr>
          <w:rFonts w:eastAsia="Times New Roman" w:cs="Times New Roman"/>
          <w:b/>
          <w:lang w:eastAsia="cs-CZ"/>
        </w:rPr>
        <w:t>Bc. Jiřím Svobodou, MBA</w:t>
      </w:r>
      <w:r w:rsidR="00AC7749" w:rsidRPr="00AC7749">
        <w:rPr>
          <w:rFonts w:eastAsia="Times New Roman" w:cs="Times New Roman"/>
          <w:lang w:eastAsia="cs-CZ"/>
        </w:rPr>
        <w:t>, generálním ředitelem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12B0A997" w:rsidR="004E1498" w:rsidRPr="004E1498" w:rsidRDefault="0011126D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    </w:t>
      </w: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83AF9BC" w14:textId="4B6C238A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1E6F3FE" w14:textId="44F2EB9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AC7749">
        <w:rPr>
          <w:rFonts w:eastAsia="Times New Roman" w:cs="Times New Roman"/>
          <w:b/>
          <w:lang w:eastAsia="cs-CZ"/>
        </w:rPr>
        <w:t>„</w:t>
      </w:r>
      <w:r w:rsidR="00AC7749" w:rsidRPr="00AC7749">
        <w:rPr>
          <w:rFonts w:eastAsia="Times New Roman" w:cs="Times New Roman"/>
          <w:b/>
          <w:lang w:eastAsia="cs-CZ"/>
        </w:rPr>
        <w:t>Doplnění kamerových systémů vybraných železničních přejezdů o SW pro detekci dopravních přestupků a jejich předávání PČR</w:t>
      </w:r>
      <w:r w:rsidRPr="00AC7749">
        <w:rPr>
          <w:rFonts w:eastAsia="Times New Roman" w:cs="Times New Roman"/>
          <w:b/>
          <w:lang w:eastAsia="cs-CZ"/>
        </w:rPr>
        <w:t>“</w:t>
      </w:r>
      <w:r w:rsidRPr="00AC7749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AC7749">
        <w:rPr>
          <w:rFonts w:eastAsia="Times New Roman" w:cs="Times New Roman"/>
          <w:lang w:eastAsia="cs-CZ"/>
        </w:rPr>
        <w:t>č.j.</w:t>
      </w:r>
      <w:proofErr w:type="gramEnd"/>
      <w:r w:rsidR="000D278B" w:rsidRPr="00AC7749">
        <w:rPr>
          <w:rFonts w:eastAsia="Times New Roman" w:cs="Times New Roman"/>
          <w:lang w:eastAsia="cs-CZ"/>
        </w:rPr>
        <w:t xml:space="preserve"> veřejné zakázky </w:t>
      </w:r>
      <w:r w:rsidR="00B5143B">
        <w:rPr>
          <w:rFonts w:eastAsia="Times New Roman" w:cs="Times New Roman"/>
          <w:lang w:eastAsia="cs-CZ"/>
        </w:rPr>
        <w:t>61559</w:t>
      </w:r>
      <w:r w:rsidR="00AC7749">
        <w:rPr>
          <w:rFonts w:eastAsia="Times New Roman" w:cs="Times New Roman"/>
          <w:lang w:eastAsia="cs-CZ"/>
        </w:rPr>
        <w:t>/2019-SŽDC-GŘ-O8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09CBBBC9" w:rsidR="004E1498" w:rsidRPr="00AC7749" w:rsidRDefault="004E1498" w:rsidP="00592757">
      <w:pPr>
        <w:pStyle w:val="Nadpis2"/>
        <w:jc w:val="left"/>
      </w:pPr>
      <w:r w:rsidRPr="004E1498">
        <w:t xml:space="preserve">Předmětem díla je </w:t>
      </w:r>
      <w:r w:rsidR="00AC7749" w:rsidRPr="00C26DED">
        <w:t xml:space="preserve">doplnění stávajících kamerových systémů na vybraných železničních přejezdech o technické a programové vybavení </w:t>
      </w:r>
      <w:r w:rsidR="00AC7749" w:rsidRPr="00AC7749">
        <w:t>pro detekci přestupku (nerespektová</w:t>
      </w:r>
      <w:r w:rsidR="00730AD3">
        <w:t>ní signálu S14a), zdokumentování</w:t>
      </w:r>
      <w:r w:rsidR="00AC7749" w:rsidRPr="00AC7749">
        <w:t xml:space="preserve"> tohoto přestupku a jeho automatické předání PČR.</w:t>
      </w:r>
      <w:r w:rsidR="00387A22">
        <w:t xml:space="preserve"> Předmětem díla je také předání veškeré dokumentace včetně zdrojových kódů k dodávanému SW. </w:t>
      </w:r>
    </w:p>
    <w:p w14:paraId="31E5226B" w14:textId="63DFDF54" w:rsidR="004E1498" w:rsidRPr="00AC7749" w:rsidRDefault="004E1498" w:rsidP="00592757">
      <w:pPr>
        <w:pStyle w:val="Nadpis2"/>
        <w:jc w:val="left"/>
      </w:pPr>
      <w:r w:rsidRPr="00AC7749">
        <w:t>Předmět díla je blíže specifikován v přílo</w:t>
      </w:r>
      <w:r w:rsidR="00CB53B1" w:rsidRPr="00AC7749">
        <w:t>ze</w:t>
      </w:r>
      <w:r w:rsidRPr="00AC7749">
        <w:t xml:space="preserve"> </w:t>
      </w:r>
      <w:r w:rsidR="00AC7749" w:rsidRPr="00AC7749">
        <w:t>č. 1</w:t>
      </w:r>
      <w:r w:rsidR="00A95B25">
        <w:t xml:space="preserve"> a č. 2</w:t>
      </w:r>
      <w:r w:rsidR="00AC7749" w:rsidRPr="00AC7749">
        <w:t xml:space="preserve"> </w:t>
      </w:r>
      <w:r w:rsidR="006566F7" w:rsidRPr="00AC7749">
        <w:t>S</w:t>
      </w:r>
      <w:r w:rsidRPr="00AC7749">
        <w:t>mlouvy.</w:t>
      </w:r>
    </w:p>
    <w:p w14:paraId="620E778C" w14:textId="1F1354BE" w:rsidR="004E1498" w:rsidRPr="00AC7749" w:rsidRDefault="004E1498" w:rsidP="00275474">
      <w:pPr>
        <w:pStyle w:val="Nadpis2"/>
        <w:jc w:val="left"/>
      </w:pPr>
      <w:r w:rsidRPr="00AC7749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2686EDAE" w14:textId="2158F09F" w:rsidR="00746FC1" w:rsidRDefault="00746FC1" w:rsidP="005740C3">
      <w:pPr>
        <w:pStyle w:val="Nadpis2"/>
        <w:jc w:val="left"/>
      </w:pPr>
      <w:r>
        <w:t>Celková cena díla</w:t>
      </w:r>
    </w:p>
    <w:p w14:paraId="1CF139A2" w14:textId="549DBF0C" w:rsidR="005740C3" w:rsidRDefault="00810E9B" w:rsidP="00774AF8">
      <w:pPr>
        <w:pStyle w:val="Nadpis3"/>
        <w:ind w:left="1418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="00AC7749" w:rsidRPr="00C83576">
        <w:rPr>
          <w:highlight w:val="yellow"/>
        </w:rPr>
        <w:t>………………,-</w:t>
      </w:r>
      <w:r w:rsidRPr="00275474">
        <w:t xml:space="preserve"> Kč. </w:t>
      </w:r>
    </w:p>
    <w:p w14:paraId="7979BC31" w14:textId="05CB39AD" w:rsidR="005740C3" w:rsidRDefault="00810E9B" w:rsidP="00774AF8">
      <w:pPr>
        <w:pStyle w:val="Nadpis3"/>
        <w:ind w:left="1418"/>
      </w:pPr>
      <w:r w:rsidRPr="00275474">
        <w:t xml:space="preserve">Výše DPH 21%     </w:t>
      </w:r>
      <w:r w:rsidRPr="00275474">
        <w:tab/>
        <w:t xml:space="preserve"> </w:t>
      </w:r>
      <w:r w:rsidR="00AC7749" w:rsidRPr="00C83576">
        <w:rPr>
          <w:highlight w:val="yellow"/>
        </w:rPr>
        <w:t>………………,-</w:t>
      </w:r>
      <w:r w:rsidRPr="00275474">
        <w:t xml:space="preserve"> Kč.</w:t>
      </w:r>
    </w:p>
    <w:p w14:paraId="36DF1F7F" w14:textId="4DE03B3F" w:rsidR="00810E9B" w:rsidRDefault="00AC7749" w:rsidP="00774AF8">
      <w:pPr>
        <w:pStyle w:val="Nadpis3"/>
        <w:ind w:left="1418"/>
      </w:pPr>
      <w:r>
        <w:t xml:space="preserve">Cena včetně DPH </w:t>
      </w:r>
      <w:r>
        <w:tab/>
        <w:t xml:space="preserve"> </w:t>
      </w:r>
      <w:r w:rsidRPr="00C83576">
        <w:rPr>
          <w:highlight w:val="yellow"/>
        </w:rPr>
        <w:t>………………,-</w:t>
      </w:r>
      <w:r w:rsidR="00810E9B" w:rsidRPr="00275474">
        <w:t xml:space="preserve"> Kč.</w:t>
      </w:r>
    </w:p>
    <w:p w14:paraId="03CE88FF" w14:textId="4F5ED20A" w:rsidR="00746FC1" w:rsidRDefault="00746FC1" w:rsidP="00746FC1">
      <w:pPr>
        <w:pStyle w:val="Nadpis2"/>
        <w:jc w:val="left"/>
      </w:pPr>
      <w:r>
        <w:t>Cena za tvorbu SW a předání zdrojových kódů a veškeré související dokumentace</w:t>
      </w:r>
    </w:p>
    <w:p w14:paraId="57599309" w14:textId="77777777" w:rsidR="00746FC1" w:rsidRDefault="00746FC1" w:rsidP="00746FC1">
      <w:pPr>
        <w:pStyle w:val="Nadpis3"/>
        <w:ind w:left="1418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C83576">
        <w:rPr>
          <w:highlight w:val="yellow"/>
        </w:rPr>
        <w:t>………………,-</w:t>
      </w:r>
      <w:r w:rsidRPr="00275474">
        <w:t xml:space="preserve"> Kč. </w:t>
      </w:r>
    </w:p>
    <w:p w14:paraId="226AB35D" w14:textId="77777777" w:rsidR="00746FC1" w:rsidRDefault="00746FC1" w:rsidP="00746FC1">
      <w:pPr>
        <w:pStyle w:val="Nadpis3"/>
        <w:ind w:left="1418"/>
      </w:pPr>
      <w:r w:rsidRPr="00275474">
        <w:t xml:space="preserve">Výše DPH 21%     </w:t>
      </w:r>
      <w:r w:rsidRPr="00275474">
        <w:tab/>
        <w:t xml:space="preserve"> </w:t>
      </w:r>
      <w:r w:rsidRPr="00C83576">
        <w:rPr>
          <w:highlight w:val="yellow"/>
        </w:rPr>
        <w:t>………………,-</w:t>
      </w:r>
      <w:r w:rsidRPr="00275474">
        <w:t xml:space="preserve"> Kč.</w:t>
      </w:r>
    </w:p>
    <w:p w14:paraId="726FAA42" w14:textId="77777777" w:rsidR="00746FC1" w:rsidRDefault="00746FC1" w:rsidP="00746FC1">
      <w:pPr>
        <w:pStyle w:val="Nadpis3"/>
        <w:ind w:left="1418"/>
      </w:pPr>
      <w:r>
        <w:t xml:space="preserve">Cena včetně DPH </w:t>
      </w:r>
      <w:r>
        <w:tab/>
        <w:t xml:space="preserve"> </w:t>
      </w:r>
      <w:r w:rsidRPr="00C83576">
        <w:rPr>
          <w:highlight w:val="yellow"/>
        </w:rPr>
        <w:t>………………,-</w:t>
      </w:r>
      <w:r w:rsidRPr="00275474">
        <w:t xml:space="preserve"> Kč.</w:t>
      </w:r>
    </w:p>
    <w:p w14:paraId="2C1D109C" w14:textId="6AA09044" w:rsidR="00642748" w:rsidRDefault="00642748" w:rsidP="00B64F17">
      <w:pPr>
        <w:pStyle w:val="Nadpis2"/>
        <w:jc w:val="left"/>
      </w:pPr>
      <w:r>
        <w:lastRenderedPageBreak/>
        <w:t xml:space="preserve">Oceněný položkový rozpočet pro jednotlivé přejezdy je přílohou č. </w:t>
      </w:r>
      <w:r w:rsidR="00D53570">
        <w:t>5</w:t>
      </w:r>
      <w:r>
        <w:t xml:space="preserve"> této Smlouvy. Cena za jednotlivý přejezd musí zahrnovat veškeré náklady, které Zhotovitel vynaloží. </w:t>
      </w:r>
    </w:p>
    <w:p w14:paraId="152E6F93" w14:textId="0988F500" w:rsidR="008A07AA" w:rsidRPr="003976F9" w:rsidRDefault="008A07AA" w:rsidP="00B64F17">
      <w:pPr>
        <w:pStyle w:val="Nadpis2"/>
        <w:jc w:val="left"/>
      </w:pPr>
      <w:r>
        <w:t>Cena díla uvedená v odst. 3.1</w:t>
      </w:r>
      <w:r w:rsidR="00746FC1">
        <w:t>.1</w:t>
      </w:r>
      <w:r>
        <w:t xml:space="preserve"> – 3.</w:t>
      </w:r>
      <w:r w:rsidR="00746FC1">
        <w:t xml:space="preserve">1.3 </w:t>
      </w:r>
      <w:r>
        <w:t>této Smlouvy zahrnuje též cenu za předání zdrojového kódu k SW včetně veškeré dokumentace (viz čl. 8 této Smlouvy).</w:t>
      </w:r>
    </w:p>
    <w:p w14:paraId="1F177553" w14:textId="4490809E" w:rsidR="00810E9B" w:rsidRPr="009E3E9E" w:rsidRDefault="00810E9B" w:rsidP="00AC7749">
      <w:pPr>
        <w:pStyle w:val="Nadpis2"/>
        <w:jc w:val="left"/>
      </w:pPr>
      <w:r w:rsidRPr="00275474">
        <w:t>Fak</w:t>
      </w:r>
      <w:r w:rsidRPr="009D1706">
        <w:t>tura</w:t>
      </w:r>
      <w:r w:rsidRPr="00275474">
        <w:t xml:space="preserve">ce bude </w:t>
      </w:r>
      <w:r w:rsidRPr="009E3E9E">
        <w:t xml:space="preserve">provedena </w:t>
      </w:r>
      <w:r w:rsidR="00CB53B1" w:rsidRPr="009E3E9E">
        <w:t xml:space="preserve">na základě akceptačního protokolu podepsaného oběma </w:t>
      </w:r>
      <w:r w:rsidR="003B5DD6" w:rsidRPr="009E3E9E">
        <w:t>Sml</w:t>
      </w:r>
      <w:r w:rsidR="00CB53B1" w:rsidRPr="009E3E9E">
        <w:t>uvními stranami</w:t>
      </w:r>
      <w:r w:rsidR="00CD24AB">
        <w:t>.</w:t>
      </w:r>
      <w:r w:rsidR="0000620F" w:rsidRPr="00CD24AB">
        <w:t xml:space="preserve"> Součástí akceptačního protokolu bude i potvrzení předání dokumentace a zdrojových kódů dle čl. 8 této Smlouvy, v případě nepředání výše uvedeného se Dílo nepovažuje za předané ve smyslu § 2604 Občanského zákoníku.</w:t>
      </w:r>
    </w:p>
    <w:p w14:paraId="1AFBED57" w14:textId="77777777" w:rsidR="004E1498" w:rsidRPr="00AC7749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</w:t>
      </w:r>
      <w:r w:rsidRPr="00AC7749">
        <w:rPr>
          <w:rFonts w:eastAsia="Times New Roman"/>
          <w:lang w:eastAsia="cs-CZ"/>
        </w:rPr>
        <w:t>a doba plnění</w:t>
      </w:r>
    </w:p>
    <w:p w14:paraId="4DCCF507" w14:textId="3752828E" w:rsidR="004E1498" w:rsidRPr="00AC7749" w:rsidRDefault="004E1498" w:rsidP="00592757">
      <w:pPr>
        <w:pStyle w:val="Nadpis2"/>
        <w:jc w:val="left"/>
      </w:pPr>
      <w:r w:rsidRPr="00AC7749">
        <w:t>Místem plnění j</w:t>
      </w:r>
      <w:r w:rsidR="00AC7749" w:rsidRPr="00AC7749">
        <w:t>sou vybrané železniční přejezdy, které jsou uvedeny v příloze č. 1 této Smlouvy.</w:t>
      </w:r>
    </w:p>
    <w:p w14:paraId="773EB070" w14:textId="1F929F89" w:rsidR="00CB53B1" w:rsidRPr="00AC7749" w:rsidRDefault="00CB53B1" w:rsidP="00CB53B1">
      <w:pPr>
        <w:pStyle w:val="Nadpis2"/>
        <w:jc w:val="left"/>
      </w:pPr>
      <w:r w:rsidRPr="00AC7749">
        <w:t xml:space="preserve">Smlouva se uzavírá na dobu určitou do </w:t>
      </w:r>
      <w:r w:rsidR="0011126D">
        <w:t>5</w:t>
      </w:r>
      <w:r w:rsidR="00AC7749" w:rsidRPr="00AC7749">
        <w:t xml:space="preserve"> měsíců od účinnosti této Smlouvy.</w:t>
      </w:r>
    </w:p>
    <w:p w14:paraId="5E705EAD" w14:textId="77777777" w:rsidR="00AC7749" w:rsidRPr="00AC7749" w:rsidRDefault="00AC7749" w:rsidP="005740C3">
      <w:pPr>
        <w:pStyle w:val="Nadpis2"/>
        <w:jc w:val="left"/>
      </w:pPr>
      <w:r w:rsidRPr="00AC7749">
        <w:t>Provedení a předání díla:</w:t>
      </w:r>
    </w:p>
    <w:p w14:paraId="624D8729" w14:textId="080EF800" w:rsidR="005740C3" w:rsidRPr="0011126D" w:rsidRDefault="004E1498" w:rsidP="00AC7749">
      <w:pPr>
        <w:pStyle w:val="Nadpis3"/>
      </w:pPr>
      <w:r w:rsidRPr="0011126D">
        <w:t>Z</w:t>
      </w:r>
      <w:r w:rsidR="005740C3" w:rsidRPr="0011126D">
        <w:t xml:space="preserve">hotovitel je povinen provést a předat </w:t>
      </w:r>
      <w:r w:rsidRPr="0011126D">
        <w:t xml:space="preserve">Dílo </w:t>
      </w:r>
      <w:r w:rsidR="00AC7749" w:rsidRPr="0011126D">
        <w:t xml:space="preserve">– přejezdy s pořadovým </w:t>
      </w:r>
      <w:r w:rsidR="00D619C8">
        <w:t>číslem</w:t>
      </w:r>
      <w:r w:rsidR="00D619C8" w:rsidRPr="0011126D">
        <w:t xml:space="preserve"> </w:t>
      </w:r>
      <w:r w:rsidR="00AC7749" w:rsidRPr="0011126D">
        <w:t>1</w:t>
      </w:r>
      <w:r w:rsidR="00B5143B" w:rsidRPr="0011126D">
        <w:t>.</w:t>
      </w:r>
      <w:r w:rsidR="00AC7749" w:rsidRPr="0011126D">
        <w:t xml:space="preserve"> dle Přílohy č. 1 této Smlouvy </w:t>
      </w:r>
      <w:r w:rsidRPr="0011126D">
        <w:t xml:space="preserve">nejpozději do </w:t>
      </w:r>
      <w:r w:rsidR="0011126D" w:rsidRPr="0011126D">
        <w:t>6</w:t>
      </w:r>
      <w:r w:rsidR="00AC7749" w:rsidRPr="0011126D">
        <w:t>0 dnů od účinnosti této Smlouvy.</w:t>
      </w:r>
    </w:p>
    <w:p w14:paraId="51F3FE04" w14:textId="111D019A" w:rsidR="00AC7749" w:rsidRPr="0011126D" w:rsidRDefault="00AC7749" w:rsidP="00AC7749">
      <w:pPr>
        <w:pStyle w:val="Nadpis3"/>
        <w:ind w:left="709" w:hanging="709"/>
      </w:pPr>
      <w:r w:rsidRPr="0011126D">
        <w:t>Zhotovitel je povinen provést a předat Dílo – přejezdy s pořadovými čísly 2</w:t>
      </w:r>
      <w:r w:rsidR="00B5143B" w:rsidRPr="0011126D">
        <w:t>.</w:t>
      </w:r>
      <w:r w:rsidR="002124E9">
        <w:t xml:space="preserve"> </w:t>
      </w:r>
      <w:r w:rsidR="008470D9">
        <w:t>–</w:t>
      </w:r>
      <w:r w:rsidR="008B1FF0">
        <w:t xml:space="preserve"> </w:t>
      </w:r>
      <w:r w:rsidR="008470D9">
        <w:t>14</w:t>
      </w:r>
      <w:r w:rsidR="00B5143B" w:rsidRPr="0011126D">
        <w:t>.</w:t>
      </w:r>
      <w:r w:rsidRPr="0011126D">
        <w:t xml:space="preserve"> dle Přílohy č. 1 této Smlouvy nejpozději do </w:t>
      </w:r>
      <w:r w:rsidR="0011126D" w:rsidRPr="0011126D">
        <w:t>4</w:t>
      </w:r>
      <w:r w:rsidRPr="0011126D">
        <w:t xml:space="preserve"> měsíců od účinnosti této Smlouvy.</w:t>
      </w:r>
    </w:p>
    <w:p w14:paraId="41962BD4" w14:textId="76A2F9D3" w:rsidR="008F643B" w:rsidRPr="00CA0714" w:rsidRDefault="00BB49D2" w:rsidP="008F643B">
      <w:pPr>
        <w:pStyle w:val="Nadpis2"/>
        <w:jc w:val="left"/>
      </w:pPr>
      <w:r w:rsidRPr="0011126D">
        <w:t>V souladu s Bližší specifikací předmětu díla, která je přílohou č. 1 této Smlouvy, konkrétně s článkem 3 písm. b), pro zajištění povinností Zhotovitele, které pro něj z tohoto článku vyplývají, bude uskutečněna společná schůzka zástupců Objednatele a Zhotovitele. Termín konání této schůzku a místo konání</w:t>
      </w:r>
      <w:r w:rsidRPr="00CA0714">
        <w:t xml:space="preserve"> schůzky bude upřesněno dohodou smluvních stran. </w:t>
      </w:r>
    </w:p>
    <w:p w14:paraId="38280017" w14:textId="77777777" w:rsidR="004E1498" w:rsidRPr="004E1498" w:rsidRDefault="004E1498" w:rsidP="00010738">
      <w:pPr>
        <w:pStyle w:val="Nadpis1"/>
        <w:spacing w:before="360"/>
        <w:ind w:left="431" w:hanging="43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8A1E97">
      <w:pPr>
        <w:pStyle w:val="Nadpis1"/>
        <w:spacing w:before="480"/>
        <w:ind w:left="431" w:hanging="43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B72177C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="006B6C53" w:rsidRPr="00730AD3">
        <w:rPr>
          <w:highlight w:val="yellow"/>
        </w:rPr>
        <w:t>č</w:t>
      </w:r>
      <w:r w:rsidR="00730AD3" w:rsidRPr="00730AD3">
        <w:rPr>
          <w:highlight w:val="yellow"/>
        </w:rPr>
        <w:t>. 3</w:t>
      </w:r>
      <w:r w:rsidR="006566F7">
        <w:t xml:space="preserve">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05D159BC" w:rsidR="00FD17C6" w:rsidRPr="004E1498" w:rsidRDefault="00A02EE7" w:rsidP="006D4FFB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6DB2E3AE" w14:textId="77777777" w:rsidR="0000620F" w:rsidRPr="0000620F" w:rsidRDefault="0000620F" w:rsidP="008A1E97">
      <w:pPr>
        <w:pStyle w:val="Nadpis1"/>
        <w:spacing w:before="480"/>
        <w:ind w:left="431" w:hanging="431"/>
        <w:rPr>
          <w:rFonts w:eastAsia="Times New Roman"/>
          <w:lang w:eastAsia="cs-CZ"/>
        </w:rPr>
      </w:pPr>
      <w:r w:rsidRPr="0000620F">
        <w:rPr>
          <w:rFonts w:eastAsia="Times New Roman"/>
          <w:lang w:eastAsia="cs-CZ"/>
        </w:rPr>
        <w:t>Práva duševního vlastnictví k dílům vzniklým v průběhu účinnosti smlouvy</w:t>
      </w:r>
    </w:p>
    <w:p w14:paraId="02D58D7D" w14:textId="37F74AF1" w:rsidR="0000620F" w:rsidRPr="0000620F" w:rsidRDefault="0000620F" w:rsidP="006B6C53">
      <w:pPr>
        <w:pStyle w:val="Nadpis2"/>
        <w:jc w:val="left"/>
      </w:pPr>
      <w:r w:rsidRPr="0000620F">
        <w:t>V případě, že výsledkem činnosti dle uzavřené smlouvy bude dílo podléhající režimu zákona číslo 121/2000 Sb., o právu autorském, o právech souvisejících s právem autorským a o změně některých zákonů, ve zn</w:t>
      </w:r>
      <w:r w:rsidR="006D4FFB">
        <w:t xml:space="preserve">ění pozdějších předpisů (dále </w:t>
      </w:r>
      <w:r w:rsidRPr="0000620F">
        <w:t>jen "autorský zákon"), takovýto vztah se bude, řídit § 58 autorského zákona, a to na základě § 58 odst. 1 a odst. 7 autorského zákona. Zhotovitel v případě, že není autorem díla ve výše uvedeném případě, postupuje na Objednatele oprávnění k výkonu majetkových práv autorských. Zhotovitel se zavazuje Objednateli, že dílo bude konáno způsobem, který umožní, aby mohl na Objednatele výkon majetkových práv platně převést, když zajistí veškeré souhlasy k tomu potřebné.</w:t>
      </w:r>
    </w:p>
    <w:p w14:paraId="55A1B0E0" w14:textId="77777777" w:rsidR="0000620F" w:rsidRPr="0000620F" w:rsidRDefault="0000620F" w:rsidP="006B6C53">
      <w:pPr>
        <w:pStyle w:val="Nadpis2"/>
        <w:jc w:val="left"/>
      </w:pPr>
      <w:r w:rsidRPr="0000620F">
        <w:t>Zhotovitel předá Objednateli veškeré zdrojové kódy patřící k vzniklému autorskému dílu, kompletní dokumentaci a všechny materiály, které byly vytvořeny při zhotovení Díla.</w:t>
      </w:r>
    </w:p>
    <w:p w14:paraId="370B719F" w14:textId="75D33BB7" w:rsidR="0000620F" w:rsidRPr="0000620F" w:rsidRDefault="0000620F" w:rsidP="006B6C53">
      <w:pPr>
        <w:pStyle w:val="Nadpis2"/>
        <w:jc w:val="left"/>
      </w:pPr>
      <w:r w:rsidRPr="0000620F">
        <w:t>Cena za převod výkonu takovýchto autorských majetkových práv je zahrnuta v Ceně uvedené v čl. 3</w:t>
      </w:r>
      <w:r>
        <w:t>.1</w:t>
      </w:r>
      <w:r w:rsidRPr="0000620F">
        <w:t xml:space="preserve"> této Smlouvy.</w:t>
      </w:r>
    </w:p>
    <w:p w14:paraId="5B28A18E" w14:textId="615F5B6D" w:rsidR="00063023" w:rsidRPr="00063023" w:rsidRDefault="0000620F" w:rsidP="00B64F17">
      <w:pPr>
        <w:pStyle w:val="Nadpis2"/>
        <w:jc w:val="left"/>
      </w:pPr>
      <w:r w:rsidRPr="0000620F">
        <w:t xml:space="preserve">V případě, že Zhotovitel nesplní své povinnosti dle článku </w:t>
      </w:r>
      <w:r>
        <w:t>7.</w:t>
      </w:r>
      <w:r w:rsidRPr="0000620F">
        <w:t xml:space="preserve">1, zaplatí Objednateli smluvní pokutu ve výši </w:t>
      </w:r>
      <w:r w:rsidR="00CD24AB">
        <w:t>20 % z ceny dle článku 3.1</w:t>
      </w:r>
      <w:r>
        <w:t xml:space="preserve"> této Smlouvy</w:t>
      </w:r>
      <w:r w:rsidRPr="0000620F">
        <w:t>. Právo na náhradu škody přesahující smluvní pokutu není ujednáním o smluvní pokutě dotčeno</w:t>
      </w:r>
      <w:r>
        <w:t>. Zaplacením smluvní pokuty nezaniká povinnost Zhotovitele řádně převést</w:t>
      </w:r>
      <w:r w:rsidR="0065612D">
        <w:t xml:space="preserve"> výkon</w:t>
      </w:r>
      <w:r w:rsidRPr="0000620F">
        <w:t xml:space="preserve"> majetkových práv autorských</w:t>
      </w:r>
      <w:r>
        <w:t xml:space="preserve"> dle čl. 7 této Smlouvy.</w:t>
      </w:r>
    </w:p>
    <w:p w14:paraId="710FA31F" w14:textId="58809E2F" w:rsidR="00C83576" w:rsidRDefault="00C83576" w:rsidP="008A1E97">
      <w:pPr>
        <w:pStyle w:val="Nadpis1"/>
        <w:spacing w:before="480"/>
        <w:ind w:left="567" w:hanging="567"/>
        <w:rPr>
          <w:rFonts w:asciiTheme="minorHAnsi" w:eastAsia="Times New Roman" w:hAnsiTheme="minorHAnsi"/>
          <w:lang w:eastAsia="cs-CZ"/>
        </w:rPr>
      </w:pPr>
      <w:r>
        <w:rPr>
          <w:rFonts w:asciiTheme="minorHAnsi" w:hAnsiTheme="minorHAnsi"/>
        </w:rPr>
        <w:t>Dokumentace a zdrojové kódy</w:t>
      </w:r>
    </w:p>
    <w:p w14:paraId="364F6BCB" w14:textId="05075841" w:rsidR="00C83576" w:rsidRPr="00C83576" w:rsidRDefault="00C83576" w:rsidP="00C83576">
      <w:pPr>
        <w:pStyle w:val="Nadpis2"/>
        <w:jc w:val="left"/>
      </w:pPr>
      <w:r>
        <w:t xml:space="preserve">V rámci Akceptačního řízení dotčeného výstupu, který je součástí předání díla či jeho části, je Zhotovitel povinen předat Objednateli příslušnou dokumentaci a zdrojový kód. </w:t>
      </w:r>
      <w:r>
        <w:lastRenderedPageBreak/>
        <w:t xml:space="preserve">Objednatel požaduje dodání dokumentace a zdrojových kódů ve standardní podobě (to nejméně v kvalitě obvyklé pro </w:t>
      </w:r>
      <w:proofErr w:type="spellStart"/>
      <w:r>
        <w:t>opensource</w:t>
      </w:r>
      <w:proofErr w:type="spellEnd"/>
      <w:r>
        <w:t xml:space="preserve"> projekty), vždy obsahující následující:</w:t>
      </w:r>
    </w:p>
    <w:p w14:paraId="781A4739" w14:textId="77777777" w:rsidR="00C83576" w:rsidRDefault="00C83576" w:rsidP="00C83576">
      <w:pPr>
        <w:pStyle w:val="Odstavecseseznamem"/>
        <w:numPr>
          <w:ilvl w:val="0"/>
          <w:numId w:val="29"/>
        </w:numPr>
        <w:spacing w:after="200" w:line="276" w:lineRule="auto"/>
      </w:pPr>
      <w:r>
        <w:t>Kompletní zdrojové kódy celého díla.</w:t>
      </w:r>
    </w:p>
    <w:p w14:paraId="232B456D" w14:textId="77777777" w:rsidR="00C83576" w:rsidRDefault="00C83576" w:rsidP="00C83576">
      <w:pPr>
        <w:pStyle w:val="Odstavecseseznamem"/>
        <w:numPr>
          <w:ilvl w:val="0"/>
          <w:numId w:val="29"/>
        </w:numPr>
        <w:spacing w:after="200" w:line="276" w:lineRule="auto"/>
      </w:pPr>
      <w:r>
        <w:t>Uživatelskou příručku obsahující konkrétní popis uživatelského prostředí, funkcí a postupů pro zaškolení zaměstnanců.</w:t>
      </w:r>
    </w:p>
    <w:p w14:paraId="4E1339D8" w14:textId="77777777" w:rsidR="00C83576" w:rsidRDefault="00C83576" w:rsidP="00C83576">
      <w:pPr>
        <w:pStyle w:val="Odstavecseseznamem"/>
        <w:numPr>
          <w:ilvl w:val="0"/>
          <w:numId w:val="29"/>
        </w:numPr>
        <w:spacing w:after="0" w:line="276" w:lineRule="auto"/>
      </w:pPr>
      <w:r>
        <w:t>Administrátorskou příručku, popisující všechny parametry, které lze konfigurovat a popis dopadů změny konfigurace do systému.</w:t>
      </w:r>
    </w:p>
    <w:p w14:paraId="529EE5BD" w14:textId="77777777" w:rsidR="00C83576" w:rsidRDefault="00C83576" w:rsidP="00C83576">
      <w:pPr>
        <w:pStyle w:val="Odstavecseseznamem"/>
        <w:numPr>
          <w:ilvl w:val="0"/>
          <w:numId w:val="29"/>
        </w:numPr>
        <w:spacing w:after="0" w:line="276" w:lineRule="auto"/>
      </w:pPr>
      <w:r>
        <w:t>Technickou dokumentaci systému, pakliže se jedná o vícevrstvou architekturu, popis každé vrstvy zvlášť:</w:t>
      </w:r>
    </w:p>
    <w:p w14:paraId="34E06E6F" w14:textId="77777777" w:rsidR="00C83576" w:rsidRDefault="00C83576" w:rsidP="00C83576">
      <w:pPr>
        <w:pStyle w:val="Odstavecseseznamem"/>
        <w:numPr>
          <w:ilvl w:val="1"/>
          <w:numId w:val="30"/>
        </w:numPr>
        <w:spacing w:after="0" w:line="276" w:lineRule="auto"/>
      </w:pPr>
      <w:r>
        <w:t>Datová vrstva – popis datové vrstvy, čili tabulek v databázi včetně vazeb mezi tabulkami a včetně E-R schémat.</w:t>
      </w:r>
    </w:p>
    <w:p w14:paraId="20F96BF2" w14:textId="77777777" w:rsidR="00C83576" w:rsidRDefault="00C83576" w:rsidP="00C83576">
      <w:pPr>
        <w:pStyle w:val="Odstavecseseznamem"/>
        <w:numPr>
          <w:ilvl w:val="1"/>
          <w:numId w:val="30"/>
        </w:numPr>
        <w:spacing w:after="0" w:line="276" w:lineRule="auto"/>
      </w:pPr>
      <w:r>
        <w:t>Aplikační vrstva – popis jádra systému, jeho funkcí, služeb a rozhraní. Dokumentace musí obsahovat kompletní popis architektury jádra systému, výčet a podrobný popis všech jeho funkcí, přehled a popis služeb, které jádro poskytuje dalším komponentám systému, modulům a knihovnám.</w:t>
      </w:r>
    </w:p>
    <w:p w14:paraId="2179DCED" w14:textId="0C799DCE" w:rsidR="00C83576" w:rsidRDefault="00C83576" w:rsidP="009E3E9E">
      <w:pPr>
        <w:pStyle w:val="Odstavecseseznamem"/>
        <w:numPr>
          <w:ilvl w:val="1"/>
          <w:numId w:val="30"/>
        </w:numPr>
        <w:spacing w:after="0" w:line="276" w:lineRule="auto"/>
      </w:pPr>
      <w:r>
        <w:t>Prezentační vrstva - Dokumentace systému musí obsahovat drátové modely všech obrazovek uživatelského rozhraní včetně popisu funkcí prvků každé obrazovky.</w:t>
      </w:r>
    </w:p>
    <w:p w14:paraId="5B1D4597" w14:textId="77777777" w:rsidR="00C83576" w:rsidRDefault="00C83576" w:rsidP="00C83576">
      <w:pPr>
        <w:pStyle w:val="Odstavecseseznamem"/>
        <w:numPr>
          <w:ilvl w:val="0"/>
          <w:numId w:val="31"/>
        </w:numPr>
        <w:spacing w:after="0" w:line="276" w:lineRule="auto"/>
        <w:jc w:val="both"/>
      </w:pPr>
      <w:r>
        <w:t>Popis konfigurace provozního prostředí systému (serverová strana i klientská strana)</w:t>
      </w:r>
    </w:p>
    <w:p w14:paraId="0D03955D" w14:textId="77777777" w:rsidR="00C83576" w:rsidRDefault="00C83576" w:rsidP="00C83576">
      <w:pPr>
        <w:spacing w:after="0" w:line="276" w:lineRule="auto"/>
        <w:ind w:left="708"/>
        <w:jc w:val="both"/>
      </w:pPr>
      <w:r>
        <w:t>Dokumentace musí obsahovat soupis všech požadavků na nastavení hardwarových a softwarových komponent běhového prostředí jako jsou:</w:t>
      </w:r>
    </w:p>
    <w:p w14:paraId="5D85CCA7" w14:textId="77777777" w:rsidR="00C83576" w:rsidRDefault="00C83576" w:rsidP="00C83576">
      <w:pPr>
        <w:pStyle w:val="Odstavecseseznamem"/>
        <w:numPr>
          <w:ilvl w:val="1"/>
          <w:numId w:val="32"/>
        </w:numPr>
        <w:spacing w:after="0" w:line="276" w:lineRule="auto"/>
        <w:ind w:left="1418" w:hanging="338"/>
        <w:jc w:val="both"/>
      </w:pPr>
      <w:r>
        <w:t>mapování souborových systémů</w:t>
      </w:r>
    </w:p>
    <w:p w14:paraId="71090186" w14:textId="77777777" w:rsidR="00C83576" w:rsidRDefault="00C83576" w:rsidP="00C83576">
      <w:pPr>
        <w:pStyle w:val="Odstavecseseznamem"/>
        <w:numPr>
          <w:ilvl w:val="1"/>
          <w:numId w:val="32"/>
        </w:numPr>
        <w:spacing w:after="0" w:line="276" w:lineRule="auto"/>
        <w:ind w:left="1418" w:hanging="338"/>
        <w:jc w:val="both"/>
      </w:pPr>
      <w:r>
        <w:t>požadavky na operační paměť a procesory</w:t>
      </w:r>
    </w:p>
    <w:p w14:paraId="03BA7FB3" w14:textId="2D4BCF4A" w:rsidR="00C83576" w:rsidRDefault="00C83576" w:rsidP="00C83576">
      <w:pPr>
        <w:pStyle w:val="Odstavecseseznamem"/>
        <w:numPr>
          <w:ilvl w:val="1"/>
          <w:numId w:val="32"/>
        </w:numPr>
        <w:spacing w:after="0" w:line="276" w:lineRule="auto"/>
        <w:ind w:left="1418" w:hanging="338"/>
        <w:jc w:val="both"/>
      </w:pPr>
      <w:r>
        <w:t>konfigurační parametry jednotlivých podpůrných sw prostředků (např. specifika pro nastavení databáze, aplikačního serveru, webového serveru, apod.)</w:t>
      </w:r>
    </w:p>
    <w:p w14:paraId="31E195F1" w14:textId="505C24D8" w:rsidR="00C83576" w:rsidRDefault="00C83576" w:rsidP="009E3E9E">
      <w:pPr>
        <w:spacing w:after="0" w:line="276" w:lineRule="auto"/>
        <w:ind w:left="567"/>
      </w:pPr>
      <w:r>
        <w:t xml:space="preserve">Objednatel požaduje, aby tato dokumentace byla ve formátech XML </w:t>
      </w:r>
      <w:proofErr w:type="spellStart"/>
      <w:r>
        <w:t>DocBook</w:t>
      </w:r>
      <w:proofErr w:type="spellEnd"/>
      <w:r>
        <w:t xml:space="preserve"> (zdrojové) a PDF (export z XML zdroje pro snadnou distribuci uživatelům), nebo případně jiném ve formátu, který Objednatel schválí po vzájemné dohodě s Dodavatelem. Všechny dokumentace musí být </w:t>
      </w:r>
      <w:proofErr w:type="spellStart"/>
      <w:r>
        <w:t>verzované</w:t>
      </w:r>
      <w:proofErr w:type="spellEnd"/>
      <w:r>
        <w:t>, opatřené seznamem autorů, přehledem změn jednotlivých verzí a musí být obsahově úplné pro tu část systému, kterou popisují.</w:t>
      </w:r>
    </w:p>
    <w:p w14:paraId="3226613B" w14:textId="4C06D4EF" w:rsidR="00C83576" w:rsidRPr="009E3E9E" w:rsidRDefault="00C83576" w:rsidP="009E3E9E">
      <w:pPr>
        <w:pStyle w:val="Nadpis2"/>
        <w:jc w:val="left"/>
      </w:pPr>
      <w:r>
        <w:t>Řešení musí obsahovat návod na používání systému (uživatelský manuál) a popis systému - jeho vlastností, struktura projektu, použité technologie (technická dokumentace). Součástí řešení je i dokumentace a automaticky generovaná dokumentace (</w:t>
      </w:r>
      <w:proofErr w:type="spellStart"/>
      <w:r>
        <w:t>Javadoc</w:t>
      </w:r>
      <w:proofErr w:type="spellEnd"/>
      <w:r>
        <w:t>). Logicky členěný a přehledný kód. Řádně komentovaný kód. Dokumentace ve zdrojovém kódu. Součástí dokumentace musí být zip archiv se zdrojovými soubory řešení a programátorskou dokumentací.</w:t>
      </w:r>
    </w:p>
    <w:p w14:paraId="21F816C5" w14:textId="77777777" w:rsidR="004E1498" w:rsidRPr="004E1498" w:rsidRDefault="004E1498" w:rsidP="008A1E97">
      <w:pPr>
        <w:pStyle w:val="Nadpis1"/>
        <w:spacing w:before="480"/>
        <w:ind w:left="431" w:hanging="43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C83576" w:rsidRDefault="004E1498" w:rsidP="00592757">
      <w:pPr>
        <w:pStyle w:val="Nadpis2"/>
        <w:jc w:val="left"/>
      </w:pPr>
      <w:r w:rsidRPr="00C83576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C83576" w:rsidRDefault="004E1498" w:rsidP="00592757">
      <w:pPr>
        <w:pStyle w:val="Nadpis2"/>
        <w:jc w:val="left"/>
      </w:pPr>
      <w:r w:rsidRPr="00C83576">
        <w:t>Kontaktními osobami smluvních stran jsou</w:t>
      </w:r>
    </w:p>
    <w:p w14:paraId="4E7FEA6D" w14:textId="776D44A0" w:rsidR="004E1498" w:rsidRPr="00C83576" w:rsidRDefault="004E1498" w:rsidP="00592757">
      <w:pPr>
        <w:pStyle w:val="Nadpis3"/>
        <w:jc w:val="left"/>
        <w:rPr>
          <w:highlight w:val="lightGray"/>
        </w:rPr>
      </w:pPr>
      <w:r w:rsidRPr="00C83576">
        <w:rPr>
          <w:highlight w:val="lightGray"/>
        </w:rPr>
        <w:t>za Objednatele p. ………………</w:t>
      </w:r>
      <w:r w:rsidR="0086114C" w:rsidRPr="00C83576">
        <w:rPr>
          <w:highlight w:val="lightGray"/>
        </w:rPr>
        <w:t>……,</w:t>
      </w:r>
      <w:r w:rsidRPr="00C83576">
        <w:rPr>
          <w:highlight w:val="lightGray"/>
        </w:rPr>
        <w:t xml:space="preserve"> tel. ……………</w:t>
      </w:r>
      <w:r w:rsidR="0086114C" w:rsidRPr="00C83576">
        <w:rPr>
          <w:highlight w:val="lightGray"/>
        </w:rPr>
        <w:t>……,</w:t>
      </w:r>
      <w:r w:rsidRPr="00C83576">
        <w:rPr>
          <w:highlight w:val="lightGray"/>
        </w:rPr>
        <w:t xml:space="preserve"> email ………………</w:t>
      </w:r>
      <w:r w:rsidR="0086114C" w:rsidRPr="00C83576">
        <w:rPr>
          <w:highlight w:val="lightGray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nepovažují za obchodní tajemství ve smyslu ustanovení § 504 Občanského zákoníku </w:t>
      </w:r>
      <w:r w:rsidRPr="00D9782E">
        <w:rPr>
          <w:rFonts w:eastAsia="Calibri"/>
        </w:rPr>
        <w:lastRenderedPageBreak/>
        <w:t>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3850602D" w:rsidR="004429CF" w:rsidRPr="00C83576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8A1E97">
      <w:pPr>
        <w:pStyle w:val="Nadpis1"/>
        <w:spacing w:before="480"/>
        <w:ind w:left="431" w:hanging="43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6D4FFB">
      <w:pPr>
        <w:pStyle w:val="Nadpis3"/>
        <w:ind w:left="1287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6D4FFB">
      <w:pPr>
        <w:pStyle w:val="Nadpis3"/>
        <w:ind w:left="1287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01DFBC5B" w:rsidR="006E6E61" w:rsidRPr="009C30C5" w:rsidRDefault="006E6E61" w:rsidP="009C30C5">
      <w:pPr>
        <w:pStyle w:val="Nadpis2"/>
      </w:pPr>
      <w:r w:rsidRPr="009C30C5"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C83576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</w:t>
      </w:r>
      <w:r w:rsidRPr="00C83576">
        <w:t>, Obchodní podmínky se užijí v rozsahu, v jakém nejsou v rozporu s takovými zvláštními podmínkami.</w:t>
      </w:r>
    </w:p>
    <w:p w14:paraId="56556D58" w14:textId="3BD033E0" w:rsidR="00774AF8" w:rsidRPr="00063023" w:rsidRDefault="004E1498" w:rsidP="00063023">
      <w:pPr>
        <w:pStyle w:val="Nadpis2"/>
        <w:ind w:left="567" w:hanging="567"/>
        <w:jc w:val="left"/>
        <w:rPr>
          <w:rFonts w:eastAsia="Calibri"/>
        </w:rPr>
      </w:pPr>
      <w:r w:rsidRPr="00C83576">
        <w:rPr>
          <w:rFonts w:eastAsia="Calibri"/>
        </w:rPr>
        <w:t xml:space="preserve">Tato </w:t>
      </w:r>
      <w:r w:rsidR="00D9782E" w:rsidRPr="00C83576">
        <w:rPr>
          <w:rFonts w:eastAsia="Calibri"/>
        </w:rPr>
        <w:t>Sml</w:t>
      </w:r>
      <w:r w:rsidRPr="00C83576">
        <w:rPr>
          <w:rFonts w:eastAsia="Calibri"/>
        </w:rPr>
        <w:t xml:space="preserve">ouva nabývá platnosti okamžikem podpisu poslední ze </w:t>
      </w:r>
      <w:r w:rsidR="00D9782E" w:rsidRPr="00C83576">
        <w:rPr>
          <w:rFonts w:eastAsia="Calibri"/>
        </w:rPr>
        <w:t>Sml</w:t>
      </w:r>
      <w:r w:rsidRPr="00C83576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4BA77607" w14:textId="77777777" w:rsidR="00010738" w:rsidRDefault="00010738" w:rsidP="00347CA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267C953" w14:textId="77777777" w:rsidR="00010738" w:rsidRDefault="00010738" w:rsidP="00347CA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1C57B7B7" w:rsidR="004E1498" w:rsidRPr="004E1498" w:rsidRDefault="006B6C53" w:rsidP="00347CA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lastRenderedPageBreak/>
        <w:t>Př</w:t>
      </w:r>
      <w:r w:rsidR="004E1498" w:rsidRPr="004E1498">
        <w:rPr>
          <w:rFonts w:eastAsia="Times New Roman" w:cs="Times New Roman"/>
          <w:b/>
          <w:lang w:eastAsia="cs-CZ"/>
        </w:rPr>
        <w:t>ílohy</w:t>
      </w:r>
    </w:p>
    <w:p w14:paraId="132EAB42" w14:textId="4DA9D1DA" w:rsidR="006E6E61" w:rsidRPr="006B6C53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83576">
        <w:rPr>
          <w:rFonts w:eastAsia="Times New Roman" w:cs="Times New Roman"/>
          <w:lang w:eastAsia="cs-CZ"/>
        </w:rPr>
        <w:t xml:space="preserve">Bližší </w:t>
      </w:r>
      <w:r w:rsidRPr="006B6C53">
        <w:rPr>
          <w:rFonts w:eastAsia="Times New Roman" w:cs="Times New Roman"/>
          <w:lang w:eastAsia="cs-CZ"/>
        </w:rPr>
        <w:t>specifikace</w:t>
      </w:r>
      <w:r w:rsidR="00C83576" w:rsidRPr="006B6C53">
        <w:rPr>
          <w:rFonts w:eastAsia="Times New Roman" w:cs="Times New Roman"/>
          <w:lang w:eastAsia="cs-CZ"/>
        </w:rPr>
        <w:t xml:space="preserve"> předmětu díla</w:t>
      </w:r>
    </w:p>
    <w:p w14:paraId="2337EAF0" w14:textId="75C842A1" w:rsidR="006B6C53" w:rsidRDefault="006B6C53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B6C53">
        <w:rPr>
          <w:rFonts w:eastAsia="Times New Roman" w:cs="Times New Roman"/>
          <w:lang w:eastAsia="cs-CZ"/>
        </w:rPr>
        <w:t xml:space="preserve">Bližší specifikace formátu dat předávaných PČR </w:t>
      </w:r>
      <w:r w:rsidRPr="006B6C53">
        <w:rPr>
          <w:rFonts w:eastAsia="Times New Roman" w:cs="Times New Roman"/>
          <w:highlight w:val="yellow"/>
          <w:lang w:eastAsia="cs-CZ"/>
        </w:rPr>
        <w:t>(bude součástí smlouvy s vybraným dodavatelem)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442C99BB" w14:textId="4DBC266B" w:rsidR="004429CF" w:rsidRDefault="004429CF" w:rsidP="0059275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24026840" w14:textId="6E571029" w:rsidR="00D53570" w:rsidRPr="006B6C53" w:rsidRDefault="00D53570" w:rsidP="00592757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8A1E97">
        <w:rPr>
          <w:rFonts w:eastAsia="Times New Roman" w:cs="Times New Roman"/>
          <w:lang w:eastAsia="cs-CZ"/>
        </w:rPr>
        <w:t>Oceněný položkový rozpočet pro jednotlivé přejezdy</w:t>
      </w: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5708F27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A308F81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3FE1484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565DED4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0221A72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75D606E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44492DB5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66B591D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F4677A4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D689AB4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103DA35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BD715F7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572A875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AB55092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8E0B020" w14:textId="77777777" w:rsidR="00010738" w:rsidRDefault="0001073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6A9B15E9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V ________________ dne </w:t>
      </w:r>
      <w:r w:rsidR="006D4FFB">
        <w:rPr>
          <w:rFonts w:eastAsia="Times New Roman" w:cs="Times New Roman"/>
          <w:lang w:eastAsia="cs-CZ"/>
        </w:rPr>
        <w:t>____________</w:t>
      </w:r>
      <w:r w:rsidR="006D4FFB">
        <w:rPr>
          <w:rFonts w:eastAsia="Times New Roman" w:cs="Times New Roman"/>
          <w:lang w:eastAsia="cs-CZ"/>
        </w:rPr>
        <w:tab/>
      </w:r>
      <w:r w:rsidR="006D4FFB">
        <w:rPr>
          <w:rFonts w:eastAsia="Times New Roman" w:cs="Times New Roman"/>
          <w:lang w:eastAsia="cs-CZ"/>
        </w:rPr>
        <w:tab/>
        <w:t>V____________</w:t>
      </w:r>
      <w:r w:rsidRPr="004E1498">
        <w:rPr>
          <w:rFonts w:eastAsia="Times New Roman" w:cs="Times New Roman"/>
          <w:lang w:eastAsia="cs-CZ"/>
        </w:rPr>
        <w:t>__</w:t>
      </w:r>
      <w:r w:rsidR="006D4FFB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dne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C83576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83576">
        <w:rPr>
          <w:rFonts w:eastAsia="Times New Roman" w:cs="Times New Roman"/>
          <w:b/>
          <w:lang w:eastAsia="cs-CZ"/>
        </w:rPr>
        <w:t>_______________________________</w:t>
      </w:r>
      <w:r w:rsidRPr="00C83576">
        <w:rPr>
          <w:rFonts w:eastAsia="Times New Roman" w:cs="Times New Roman"/>
          <w:b/>
          <w:lang w:eastAsia="cs-CZ"/>
        </w:rPr>
        <w:tab/>
        <w:t xml:space="preserve">    </w:t>
      </w:r>
      <w:r w:rsidR="0086114C" w:rsidRPr="00C83576">
        <w:rPr>
          <w:rFonts w:eastAsia="Times New Roman" w:cs="Times New Roman"/>
          <w:b/>
          <w:lang w:eastAsia="cs-CZ"/>
        </w:rPr>
        <w:t xml:space="preserve"> </w:t>
      </w:r>
      <w:r w:rsidRPr="00C83576">
        <w:rPr>
          <w:rFonts w:eastAsia="Times New Roman" w:cs="Times New Roman"/>
          <w:b/>
          <w:lang w:eastAsia="cs-CZ"/>
        </w:rPr>
        <w:t xml:space="preserve"> </w:t>
      </w:r>
      <w:r w:rsidR="0086114C" w:rsidRPr="00C83576">
        <w:rPr>
          <w:rFonts w:eastAsia="Times New Roman" w:cs="Times New Roman"/>
          <w:b/>
          <w:lang w:eastAsia="cs-CZ"/>
        </w:rPr>
        <w:t xml:space="preserve">     </w:t>
      </w:r>
      <w:r w:rsidRPr="00C83576">
        <w:rPr>
          <w:rFonts w:eastAsia="Times New Roman" w:cs="Times New Roman"/>
          <w:b/>
          <w:lang w:eastAsia="cs-CZ"/>
        </w:rPr>
        <w:t>_____________________________</w:t>
      </w:r>
    </w:p>
    <w:p w14:paraId="54E4B03F" w14:textId="2FFB6528" w:rsidR="0025341D" w:rsidRPr="00C83576" w:rsidRDefault="004E1498" w:rsidP="0025341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83576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C83576">
        <w:rPr>
          <w:rFonts w:eastAsia="Times New Roman" w:cs="Times New Roman"/>
          <w:b/>
          <w:lang w:eastAsia="cs-CZ"/>
        </w:rPr>
        <w:t>Objednatel</w:t>
      </w:r>
      <w:proofErr w:type="gramEnd"/>
      <w:r w:rsidRPr="00C83576">
        <w:rPr>
          <w:rFonts w:eastAsia="Times New Roman" w:cs="Times New Roman"/>
          <w:b/>
          <w:lang w:eastAsia="cs-CZ"/>
        </w:rPr>
        <w:tab/>
      </w:r>
      <w:r w:rsidR="00F969C4" w:rsidRPr="00C83576">
        <w:rPr>
          <w:rFonts w:eastAsia="Times New Roman" w:cs="Times New Roman"/>
          <w:b/>
          <w:lang w:eastAsia="cs-CZ"/>
        </w:rPr>
        <w:t>e</w:t>
      </w:r>
      <w:r w:rsidRPr="00C83576">
        <w:rPr>
          <w:rFonts w:eastAsia="Times New Roman" w:cs="Times New Roman"/>
          <w:b/>
          <w:lang w:eastAsia="cs-CZ"/>
        </w:rPr>
        <w:tab/>
      </w:r>
      <w:r w:rsidRPr="00C83576">
        <w:rPr>
          <w:rFonts w:eastAsia="Times New Roman" w:cs="Times New Roman"/>
          <w:b/>
          <w:lang w:eastAsia="cs-CZ"/>
        </w:rPr>
        <w:tab/>
      </w:r>
      <w:r w:rsidRPr="00C83576">
        <w:rPr>
          <w:rFonts w:eastAsia="Times New Roman" w:cs="Times New Roman"/>
          <w:b/>
          <w:lang w:eastAsia="cs-CZ"/>
        </w:rPr>
        <w:tab/>
      </w:r>
      <w:r w:rsidRPr="00C83576">
        <w:rPr>
          <w:rFonts w:eastAsia="Times New Roman" w:cs="Times New Roman"/>
          <w:b/>
          <w:lang w:eastAsia="cs-CZ"/>
        </w:rPr>
        <w:tab/>
      </w:r>
      <w:r w:rsidRPr="00C83576">
        <w:rPr>
          <w:rFonts w:eastAsia="Times New Roman" w:cs="Times New Roman"/>
          <w:b/>
          <w:lang w:eastAsia="cs-CZ"/>
        </w:rPr>
        <w:tab/>
      </w:r>
      <w:r w:rsidRPr="00C83576">
        <w:rPr>
          <w:rFonts w:eastAsia="Times New Roman" w:cs="Times New Roman"/>
          <w:b/>
          <w:highlight w:val="yellow"/>
          <w:lang w:eastAsia="cs-CZ"/>
        </w:rPr>
        <w:t>Za Zhotovitele</w:t>
      </w:r>
    </w:p>
    <w:p w14:paraId="644A412B" w14:textId="08336FB3" w:rsidR="0025341D" w:rsidRPr="00C83576" w:rsidRDefault="00C83576" w:rsidP="0025341D">
      <w:pPr>
        <w:pStyle w:val="Oslovenvdopisu"/>
      </w:pPr>
      <w:r w:rsidRPr="00C83576">
        <w:rPr>
          <w:b/>
        </w:rPr>
        <w:t>Bc. Jiří Svoboda, MBA</w:t>
      </w:r>
    </w:p>
    <w:p w14:paraId="5E8BA70D" w14:textId="17043F56" w:rsidR="00D9782E" w:rsidRDefault="006D4FFB" w:rsidP="00347CA4">
      <w:pPr>
        <w:spacing w:after="0"/>
      </w:pPr>
      <w:r>
        <w:t>generální ředitele</w:t>
      </w:r>
    </w:p>
    <w:p w14:paraId="208E3163" w14:textId="77777777" w:rsidR="00347CA4" w:rsidRDefault="00347CA4" w:rsidP="00347CA4">
      <w:pPr>
        <w:spacing w:after="0"/>
      </w:pPr>
    </w:p>
    <w:p w14:paraId="1565DF48" w14:textId="77777777" w:rsidR="008A1E97" w:rsidRDefault="008A1E97" w:rsidP="00347CA4">
      <w:pPr>
        <w:spacing w:after="0"/>
      </w:pPr>
    </w:p>
    <w:p w14:paraId="003386C8" w14:textId="77777777" w:rsidR="008A1E97" w:rsidRDefault="008A1E97" w:rsidP="00347CA4">
      <w:pPr>
        <w:spacing w:after="0"/>
      </w:pPr>
    </w:p>
    <w:p w14:paraId="53C64DEB" w14:textId="77777777" w:rsidR="008A1E97" w:rsidRDefault="008A1E97" w:rsidP="00347CA4">
      <w:pPr>
        <w:spacing w:after="0"/>
      </w:pPr>
    </w:p>
    <w:p w14:paraId="79A8111A" w14:textId="77777777" w:rsidR="008A1E97" w:rsidRDefault="008A1E97" w:rsidP="00347CA4">
      <w:pPr>
        <w:spacing w:after="0"/>
      </w:pPr>
    </w:p>
    <w:p w14:paraId="3FA50DC7" w14:textId="77777777" w:rsidR="008A1E97" w:rsidRDefault="008A1E97" w:rsidP="00347CA4">
      <w:pPr>
        <w:spacing w:after="0"/>
      </w:pPr>
    </w:p>
    <w:p w14:paraId="3A0E6489" w14:textId="77777777" w:rsidR="008A1E97" w:rsidRDefault="008A1E97" w:rsidP="00347CA4">
      <w:pPr>
        <w:spacing w:after="0"/>
      </w:pPr>
    </w:p>
    <w:p w14:paraId="55339C0F" w14:textId="77777777" w:rsidR="008A1E97" w:rsidRPr="006D4FFB" w:rsidRDefault="008A1E97" w:rsidP="00347CA4">
      <w:pPr>
        <w:spacing w:after="0"/>
      </w:pPr>
    </w:p>
    <w:p w14:paraId="3D6E84C1" w14:textId="3C839DC5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  <w:r w:rsidR="006D4FFB">
        <w:rPr>
          <w:rFonts w:eastAsia="Calibri" w:cs="Times New Roman"/>
        </w:rPr>
        <w:t>………………</w:t>
      </w:r>
    </w:p>
    <w:sectPr w:rsidR="009F392E" w:rsidRPr="006C769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605F5" w14:textId="77777777" w:rsidR="00801402" w:rsidRDefault="00801402" w:rsidP="00962258">
      <w:pPr>
        <w:spacing w:after="0" w:line="240" w:lineRule="auto"/>
      </w:pPr>
      <w:r>
        <w:separator/>
      </w:r>
    </w:p>
  </w:endnote>
  <w:endnote w:type="continuationSeparator" w:id="0">
    <w:p w14:paraId="38227EBB" w14:textId="77777777" w:rsidR="00801402" w:rsidRDefault="008014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1E9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1E9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1E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1E9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6A8A9" w14:textId="77777777" w:rsidR="00801402" w:rsidRDefault="00801402" w:rsidP="00962258">
      <w:pPr>
        <w:spacing w:after="0" w:line="240" w:lineRule="auto"/>
      </w:pPr>
      <w:r>
        <w:separator/>
      </w:r>
    </w:p>
  </w:footnote>
  <w:footnote w:type="continuationSeparator" w:id="0">
    <w:p w14:paraId="4C6FFBC7" w14:textId="77777777" w:rsidR="00801402" w:rsidRDefault="008014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7D2741"/>
    <w:multiLevelType w:val="hybridMultilevel"/>
    <w:tmpl w:val="A5FADDC6"/>
    <w:lvl w:ilvl="0" w:tplc="B2A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37EDB2C">
      <w:numFmt w:val="bullet"/>
      <w:lvlText w:val="-"/>
      <w:lvlJc w:val="left"/>
      <w:pPr>
        <w:ind w:left="1785" w:hanging="705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F28A0"/>
    <w:multiLevelType w:val="hybridMultilevel"/>
    <w:tmpl w:val="9EF460BE"/>
    <w:lvl w:ilvl="0" w:tplc="B2A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B5E497A"/>
    <w:multiLevelType w:val="hybridMultilevel"/>
    <w:tmpl w:val="38301B14"/>
    <w:lvl w:ilvl="0" w:tplc="B2A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0FB525B"/>
    <w:multiLevelType w:val="hybridMultilevel"/>
    <w:tmpl w:val="5C36D67E"/>
    <w:lvl w:ilvl="0" w:tplc="B2A61E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B6448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4070991"/>
    <w:multiLevelType w:val="multilevel"/>
    <w:tmpl w:val="CABE99FC"/>
    <w:numStyleLink w:val="ListNumbermultilevel"/>
  </w:abstractNum>
  <w:abstractNum w:abstractNumId="23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2"/>
  </w:num>
  <w:num w:numId="5">
    <w:abstractNumId w:val="10"/>
  </w:num>
  <w:num w:numId="6">
    <w:abstractNumId w:val="0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2"/>
  </w:num>
  <w:num w:numId="12">
    <w:abstractNumId w:val="19"/>
  </w:num>
  <w:num w:numId="13">
    <w:abstractNumId w:val="21"/>
  </w:num>
  <w:num w:numId="14">
    <w:abstractNumId w:val="4"/>
  </w:num>
  <w:num w:numId="15">
    <w:abstractNumId w:val="24"/>
  </w:num>
  <w:num w:numId="16">
    <w:abstractNumId w:val="15"/>
  </w:num>
  <w:num w:numId="17">
    <w:abstractNumId w:val="9"/>
  </w:num>
  <w:num w:numId="18">
    <w:abstractNumId w:val="11"/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18"/>
  </w:num>
  <w:num w:numId="31">
    <w:abstractNumId w:val="5"/>
  </w:num>
  <w:num w:numId="32">
    <w:abstractNumId w:val="14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  <w:num w:numId="43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620F"/>
    <w:rsid w:val="00010738"/>
    <w:rsid w:val="000617CB"/>
    <w:rsid w:val="00063023"/>
    <w:rsid w:val="00072C1E"/>
    <w:rsid w:val="00073A69"/>
    <w:rsid w:val="000814B9"/>
    <w:rsid w:val="000A13BC"/>
    <w:rsid w:val="000A3F85"/>
    <w:rsid w:val="000D278B"/>
    <w:rsid w:val="000E23A7"/>
    <w:rsid w:val="0010693F"/>
    <w:rsid w:val="00107E5E"/>
    <w:rsid w:val="001103C8"/>
    <w:rsid w:val="0011126D"/>
    <w:rsid w:val="00114472"/>
    <w:rsid w:val="0013379C"/>
    <w:rsid w:val="00140388"/>
    <w:rsid w:val="001550BC"/>
    <w:rsid w:val="001605B9"/>
    <w:rsid w:val="00170EC5"/>
    <w:rsid w:val="001747C1"/>
    <w:rsid w:val="00184743"/>
    <w:rsid w:val="00185DCF"/>
    <w:rsid w:val="00193A76"/>
    <w:rsid w:val="001A6752"/>
    <w:rsid w:val="001A78FF"/>
    <w:rsid w:val="001C0FC2"/>
    <w:rsid w:val="001D1E36"/>
    <w:rsid w:val="001D68A6"/>
    <w:rsid w:val="001E3145"/>
    <w:rsid w:val="001E339C"/>
    <w:rsid w:val="00207DF5"/>
    <w:rsid w:val="002124E9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37292"/>
    <w:rsid w:val="00341DCF"/>
    <w:rsid w:val="00347CA4"/>
    <w:rsid w:val="00357BC6"/>
    <w:rsid w:val="00377CA0"/>
    <w:rsid w:val="00387A22"/>
    <w:rsid w:val="003956C6"/>
    <w:rsid w:val="003976F9"/>
    <w:rsid w:val="003A4D59"/>
    <w:rsid w:val="003B39EC"/>
    <w:rsid w:val="003B5DD6"/>
    <w:rsid w:val="003D1F1E"/>
    <w:rsid w:val="003D703A"/>
    <w:rsid w:val="003F20D8"/>
    <w:rsid w:val="00401303"/>
    <w:rsid w:val="00431925"/>
    <w:rsid w:val="00441430"/>
    <w:rsid w:val="004429CF"/>
    <w:rsid w:val="00450F07"/>
    <w:rsid w:val="00453CD3"/>
    <w:rsid w:val="00460660"/>
    <w:rsid w:val="0047161E"/>
    <w:rsid w:val="0047677B"/>
    <w:rsid w:val="00482049"/>
    <w:rsid w:val="00486107"/>
    <w:rsid w:val="00491827"/>
    <w:rsid w:val="00493B1B"/>
    <w:rsid w:val="004A6222"/>
    <w:rsid w:val="004B348C"/>
    <w:rsid w:val="004C4399"/>
    <w:rsid w:val="004C728D"/>
    <w:rsid w:val="004C787C"/>
    <w:rsid w:val="004D3D1D"/>
    <w:rsid w:val="004E143C"/>
    <w:rsid w:val="004E1498"/>
    <w:rsid w:val="004E3A53"/>
    <w:rsid w:val="004F4B9B"/>
    <w:rsid w:val="0050536C"/>
    <w:rsid w:val="00511AB9"/>
    <w:rsid w:val="00522467"/>
    <w:rsid w:val="00523EA7"/>
    <w:rsid w:val="00527421"/>
    <w:rsid w:val="00533C44"/>
    <w:rsid w:val="00537B7A"/>
    <w:rsid w:val="00553375"/>
    <w:rsid w:val="005720D4"/>
    <w:rsid w:val="005736B7"/>
    <w:rsid w:val="005740C3"/>
    <w:rsid w:val="00575E5A"/>
    <w:rsid w:val="00592757"/>
    <w:rsid w:val="005973D9"/>
    <w:rsid w:val="00597E84"/>
    <w:rsid w:val="005B6ED3"/>
    <w:rsid w:val="005B76DD"/>
    <w:rsid w:val="005D5624"/>
    <w:rsid w:val="005E4A33"/>
    <w:rsid w:val="005F1404"/>
    <w:rsid w:val="0060520C"/>
    <w:rsid w:val="0061068E"/>
    <w:rsid w:val="00642748"/>
    <w:rsid w:val="0065612D"/>
    <w:rsid w:val="006566F7"/>
    <w:rsid w:val="00660AD3"/>
    <w:rsid w:val="00677B7F"/>
    <w:rsid w:val="006A5570"/>
    <w:rsid w:val="006A689C"/>
    <w:rsid w:val="006B3D79"/>
    <w:rsid w:val="006B6C53"/>
    <w:rsid w:val="006C7697"/>
    <w:rsid w:val="006D4FFB"/>
    <w:rsid w:val="006D7AFE"/>
    <w:rsid w:val="006E0578"/>
    <w:rsid w:val="006E314D"/>
    <w:rsid w:val="006E6E61"/>
    <w:rsid w:val="007061F8"/>
    <w:rsid w:val="00710723"/>
    <w:rsid w:val="00723ED1"/>
    <w:rsid w:val="00730AD3"/>
    <w:rsid w:val="00743525"/>
    <w:rsid w:val="00746FC1"/>
    <w:rsid w:val="007510DD"/>
    <w:rsid w:val="00753EBA"/>
    <w:rsid w:val="0076286B"/>
    <w:rsid w:val="00766846"/>
    <w:rsid w:val="00774AF8"/>
    <w:rsid w:val="0077673A"/>
    <w:rsid w:val="007846E1"/>
    <w:rsid w:val="007921EF"/>
    <w:rsid w:val="007A0C04"/>
    <w:rsid w:val="007B570C"/>
    <w:rsid w:val="007C01CD"/>
    <w:rsid w:val="007C589B"/>
    <w:rsid w:val="007E4A6E"/>
    <w:rsid w:val="007F56A7"/>
    <w:rsid w:val="00801402"/>
    <w:rsid w:val="00807DD0"/>
    <w:rsid w:val="00810E9B"/>
    <w:rsid w:val="00816B59"/>
    <w:rsid w:val="008277C9"/>
    <w:rsid w:val="00845DC2"/>
    <w:rsid w:val="008470D9"/>
    <w:rsid w:val="0084768D"/>
    <w:rsid w:val="0086114C"/>
    <w:rsid w:val="008659F3"/>
    <w:rsid w:val="00886D4B"/>
    <w:rsid w:val="00895406"/>
    <w:rsid w:val="008A07AA"/>
    <w:rsid w:val="008A1E97"/>
    <w:rsid w:val="008A3568"/>
    <w:rsid w:val="008B1FF0"/>
    <w:rsid w:val="008B44A3"/>
    <w:rsid w:val="008D03B9"/>
    <w:rsid w:val="008E1E86"/>
    <w:rsid w:val="008F18D6"/>
    <w:rsid w:val="008F643B"/>
    <w:rsid w:val="008F7DFE"/>
    <w:rsid w:val="00901134"/>
    <w:rsid w:val="00904780"/>
    <w:rsid w:val="00922385"/>
    <w:rsid w:val="009223DF"/>
    <w:rsid w:val="00933628"/>
    <w:rsid w:val="00936091"/>
    <w:rsid w:val="00940D8A"/>
    <w:rsid w:val="00950C1F"/>
    <w:rsid w:val="00962258"/>
    <w:rsid w:val="009678B7"/>
    <w:rsid w:val="00972067"/>
    <w:rsid w:val="0098189F"/>
    <w:rsid w:val="009833E1"/>
    <w:rsid w:val="00992D9C"/>
    <w:rsid w:val="00996CB8"/>
    <w:rsid w:val="009A0078"/>
    <w:rsid w:val="009B14A9"/>
    <w:rsid w:val="009B2E97"/>
    <w:rsid w:val="009C30C5"/>
    <w:rsid w:val="009D1706"/>
    <w:rsid w:val="009E07F4"/>
    <w:rsid w:val="009E3E9E"/>
    <w:rsid w:val="009F392E"/>
    <w:rsid w:val="00A021CC"/>
    <w:rsid w:val="00A02EE7"/>
    <w:rsid w:val="00A57A4A"/>
    <w:rsid w:val="00A605AE"/>
    <w:rsid w:val="00A6177B"/>
    <w:rsid w:val="00A66136"/>
    <w:rsid w:val="00A95B25"/>
    <w:rsid w:val="00AA4CBB"/>
    <w:rsid w:val="00AA65FA"/>
    <w:rsid w:val="00AA7351"/>
    <w:rsid w:val="00AB6759"/>
    <w:rsid w:val="00AC090E"/>
    <w:rsid w:val="00AC7749"/>
    <w:rsid w:val="00AD056F"/>
    <w:rsid w:val="00AD6731"/>
    <w:rsid w:val="00AF11FA"/>
    <w:rsid w:val="00B15D0D"/>
    <w:rsid w:val="00B27209"/>
    <w:rsid w:val="00B309CD"/>
    <w:rsid w:val="00B365D2"/>
    <w:rsid w:val="00B42DC0"/>
    <w:rsid w:val="00B50CAD"/>
    <w:rsid w:val="00B5143B"/>
    <w:rsid w:val="00B64F17"/>
    <w:rsid w:val="00B748DD"/>
    <w:rsid w:val="00B75EE1"/>
    <w:rsid w:val="00B77481"/>
    <w:rsid w:val="00B8518B"/>
    <w:rsid w:val="00BB184D"/>
    <w:rsid w:val="00BB49D2"/>
    <w:rsid w:val="00BC4DC9"/>
    <w:rsid w:val="00BD7E91"/>
    <w:rsid w:val="00C02D0A"/>
    <w:rsid w:val="00C03A6E"/>
    <w:rsid w:val="00C10E55"/>
    <w:rsid w:val="00C44F6A"/>
    <w:rsid w:val="00C47AE3"/>
    <w:rsid w:val="00C74F8E"/>
    <w:rsid w:val="00C83576"/>
    <w:rsid w:val="00CA0714"/>
    <w:rsid w:val="00CB53B1"/>
    <w:rsid w:val="00CC6991"/>
    <w:rsid w:val="00CC7560"/>
    <w:rsid w:val="00CD1FC4"/>
    <w:rsid w:val="00CD24AB"/>
    <w:rsid w:val="00CF288C"/>
    <w:rsid w:val="00D1459D"/>
    <w:rsid w:val="00D21061"/>
    <w:rsid w:val="00D37397"/>
    <w:rsid w:val="00D4108E"/>
    <w:rsid w:val="00D53570"/>
    <w:rsid w:val="00D6163D"/>
    <w:rsid w:val="00D619C8"/>
    <w:rsid w:val="00D657AD"/>
    <w:rsid w:val="00D76037"/>
    <w:rsid w:val="00D831A3"/>
    <w:rsid w:val="00D85C5B"/>
    <w:rsid w:val="00D9782E"/>
    <w:rsid w:val="00DB0D6F"/>
    <w:rsid w:val="00DB210B"/>
    <w:rsid w:val="00DC60C3"/>
    <w:rsid w:val="00DC75F3"/>
    <w:rsid w:val="00DD46F3"/>
    <w:rsid w:val="00DE56F2"/>
    <w:rsid w:val="00DF116D"/>
    <w:rsid w:val="00E01301"/>
    <w:rsid w:val="00E0444C"/>
    <w:rsid w:val="00E55F3F"/>
    <w:rsid w:val="00E80649"/>
    <w:rsid w:val="00EB104F"/>
    <w:rsid w:val="00ED14BD"/>
    <w:rsid w:val="00EF1804"/>
    <w:rsid w:val="00EF1C8C"/>
    <w:rsid w:val="00EF7D92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439D"/>
    <w:rsid w:val="00F86BA6"/>
    <w:rsid w:val="00F969C4"/>
    <w:rsid w:val="00FA31EF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C0886E-D17E-4048-AFE2-50A568C6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2048</Words>
  <Characters>12084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3</cp:revision>
  <cp:lastPrinted>2020-01-07T13:17:00Z</cp:lastPrinted>
  <dcterms:created xsi:type="dcterms:W3CDTF">2020-01-23T11:47:00Z</dcterms:created>
  <dcterms:modified xsi:type="dcterms:W3CDTF">2020-01-23T12:06:00Z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